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0" w:before="0"/>
      </w:pPr>
      <w:r>
        <w:rPr>
          <w:rFonts w:ascii="Aptos" w:cs="Aptos" w:eastAsia="Aptos" w:hAnsi="Aptos"/>
          <w:b/>
          <w:bCs/>
          <w:color w:val="0B2809"/>
          <w:sz w:val="30"/>
          <w:szCs w:val="30"/>
          <w:lang w:val="en-GB"/>
        </w:rPr>
        <w:t xml:space="preserve">Self-declaration for the 5% withholding tax rate on bond interest</w:t>
      </w:r>
    </w:p>
    <w:p>
      <w:pPr>
        <w:keepNext/>
        <w:pBdr>
          <w:bottom w:val="single" w:color="82CA3E" w:sz="12" w:space="6"/>
        </w:pBdr>
        <w:spacing w:after="140" w:before="0"/>
      </w:pPr>
      <w:r>
        <w:rPr>
          <w:rFonts w:ascii="Aptos" w:cs="Aptos" w:eastAsia="Aptos" w:hAnsi="Aptos"/>
          <w:color w:val="3F5246"/>
          <w:sz w:val="24"/>
          <w:szCs w:val="24"/>
          <w:lang w:val="lv-LV"/>
        </w:rPr>
        <w:t xml:space="preserve">Apliecinājums 5% nodokļa likmes piemērošanai obligāciju procentu ienākumam</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rPr>
        <w:tc>
          <w:tcPr>
            <w:tcW w:type="dxa" w:w="495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50" w:before="0" w:line="252"/>
            </w:pPr>
            <w:r>
              <w:rPr>
                <w:rFonts w:ascii="Aptos" w:cs="Aptos" w:eastAsia="Aptos" w:hAnsi="Aptos"/>
                <w:b/>
                <w:bCs/>
                <w:color w:val="0B2809"/>
                <w:sz w:val="17"/>
                <w:szCs w:val="17"/>
                <w:lang w:val="en-GB"/>
              </w:rPr>
              <w:t xml:space="preserve">About this form. </w:t>
            </w:r>
            <w:r>
              <w:rPr>
                <w:rFonts w:ascii="Aptos" w:cs="Aptos" w:eastAsia="Aptos" w:hAnsi="Aptos"/>
                <w:color w:val="000000"/>
                <w:sz w:val="17"/>
                <w:szCs w:val="17"/>
                <w:lang w:val="en-GB"/>
              </w:rPr>
              <w:t xml:space="preserve">Interest on bonds issued by SIA Timbro Group (the Issuer) is taxed in Latvia at a reduced rate of 5% instead of the standard rate (currently 25.5%) if the recipient is an individual who is a tax resident of another EU or EEA member state and does not carry on economic activity, and the bond issue meets the statutory conditions: payment through Nasdaq CSD, issue arranged by a supervised investment service provider and bonds not admitted to trading on a regulated market (Section 15, Paragraphs 7.</w:t>
            </w:r>
            <w:r>
              <w:rPr>
                <w:rFonts w:ascii="Aptos" w:cs="Aptos" w:eastAsia="Aptos" w:hAnsi="Aptos"/>
                <w:color w:val="000000"/>
                <w:sz w:val="17"/>
                <w:szCs w:val="17"/>
                <w:vertAlign w:val="superscript"/>
                <w:lang w:val="en-GB"/>
              </w:rPr>
              <w:t xml:space="preserve">2</w:t>
            </w:r>
            <w:r>
              <w:rPr>
                <w:rFonts w:ascii="Aptos" w:cs="Aptos" w:eastAsia="Aptos" w:hAnsi="Aptos"/>
                <w:color w:val="000000"/>
                <w:sz w:val="17"/>
                <w:szCs w:val="17"/>
                <w:lang w:val="en-GB"/>
              </w:rPr>
              <w:t xml:space="preserve"> and 7.</w:t>
            </w:r>
            <w:r>
              <w:rPr>
                <w:rFonts w:ascii="Aptos" w:cs="Aptos" w:eastAsia="Aptos" w:hAnsi="Aptos"/>
                <w:color w:val="000000"/>
                <w:sz w:val="17"/>
                <w:szCs w:val="17"/>
                <w:vertAlign w:val="superscript"/>
                <w:lang w:val="en-GB"/>
              </w:rPr>
              <w:t xml:space="preserve">3</w:t>
            </w:r>
            <w:r>
              <w:rPr>
                <w:rFonts w:ascii="Aptos" w:cs="Aptos" w:eastAsia="Aptos" w:hAnsi="Aptos"/>
                <w:color w:val="000000"/>
                <w:sz w:val="17"/>
                <w:szCs w:val="17"/>
                <w:lang w:val="en-GB"/>
              </w:rPr>
              <w:t xml:space="preserve"> of the Law on Personal Income Tax). The Issuer relies on this declaration and the tax residence data received through Nasdaq CSD, may request additional information and applies the standard rate if the conditions are not met. This form is not tax advice.</w:t>
            </w:r>
          </w:p>
          <w:p>
            <w:pPr>
              <w:keepLines/>
              <w:spacing w:after="50" w:before="0" w:line="252"/>
            </w:pPr>
            <w:r>
              <w:rPr>
                <w:rFonts w:ascii="Aptos" w:cs="Aptos" w:eastAsia="Aptos" w:hAnsi="Aptos"/>
                <w:b/>
                <w:bCs/>
                <w:color w:val="0B2809"/>
                <w:sz w:val="17"/>
                <w:szCs w:val="17"/>
                <w:lang w:val="en-GB"/>
              </w:rPr>
              <w:t xml:space="preserve">Who should not use it. </w:t>
            </w:r>
            <w:r>
              <w:rPr>
                <w:rFonts w:ascii="Aptos" w:cs="Aptos" w:eastAsia="Aptos" w:hAnsi="Aptos"/>
                <w:color w:val="000000"/>
                <w:sz w:val="17"/>
                <w:szCs w:val="17"/>
                <w:lang w:val="en-GB"/>
              </w:rPr>
              <w:t xml:space="preserve">Legal entities and Latvian tax residents. Individuals who carry on economic activity or are resident outside the EU/EEA may claim relief under a double tax treaty in accordance with Cabinet of Ministers Regulation No. 178 of 30 April 2001.</w:t>
            </w:r>
          </w:p>
          <w:p>
            <w:pPr>
              <w:keepLines/>
              <w:spacing w:after="50" w:before="0" w:line="252"/>
            </w:pPr>
            <w:r>
              <w:rPr>
                <w:rFonts w:ascii="Aptos" w:cs="Aptos" w:eastAsia="Aptos" w:hAnsi="Aptos"/>
                <w:b/>
                <w:bCs/>
                <w:color w:val="0B2809"/>
                <w:sz w:val="17"/>
                <w:szCs w:val="17"/>
                <w:lang w:val="en-GB"/>
              </w:rPr>
              <w:t xml:space="preserve">Lithuanian residents. </w:t>
            </w:r>
            <w:r>
              <w:rPr>
                <w:rFonts w:ascii="Aptos" w:cs="Aptos" w:eastAsia="Aptos" w:hAnsi="Aptos"/>
                <w:color w:val="000000"/>
                <w:sz w:val="17"/>
                <w:szCs w:val="17"/>
                <w:lang w:val="en-GB"/>
              </w:rPr>
              <w:t xml:space="preserve">Under the Latvia-Lithuania double tax treaty, interest is taxable only in Lithuania: 0% applies once a certificate of tax residence issued by the State Tax Inspectorate (VMI) is provided in accordance with Regulation No. 178 and, where interest exceeds EUR 5,000 per year, once the State Revenue Service of Latvia has approved the residence certificate (Annex 1 to Regulation No. 178). Until then, this form secures the 5% rate.</w:t>
            </w:r>
          </w:p>
          <w:p>
            <w:pPr>
              <w:keepLines/>
              <w:spacing w:after="0" w:before="0" w:line="252"/>
            </w:pPr>
            <w:r>
              <w:rPr>
                <w:rFonts w:ascii="Aptos" w:cs="Aptos" w:eastAsia="Aptos" w:hAnsi="Aptos"/>
                <w:b/>
                <w:bCs/>
                <w:color w:val="0B2809"/>
                <w:sz w:val="17"/>
                <w:szCs w:val="17"/>
                <w:lang w:val="en-GB"/>
              </w:rPr>
              <w:t xml:space="preserve">How to submit. </w:t>
            </w:r>
            <w:r>
              <w:rPr>
                <w:rFonts w:ascii="Aptos" w:cs="Aptos" w:eastAsia="Aptos" w:hAnsi="Aptos"/>
                <w:color w:val="000000"/>
                <w:sz w:val="17"/>
                <w:szCs w:val="17"/>
                <w:lang w:val="en-GB"/>
              </w:rPr>
              <w:t xml:space="preserve">Sign the form with a qualified electronic signature (.asice, .edoc or signed PDF) and send it to investors@timbro.lv before the payment date of the first coupon to which the 5% rate should apply, ideally before its record date. A form received after a coupon payment date applies from the next coupon. Tax already withheld is not refunded by the Issuer.</w:t>
            </w:r>
          </w:p>
        </w:tc>
        <w:tc>
          <w:tcPr>
            <w:tcW w:type="dxa" w:w="495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50" w:before="0" w:line="252"/>
            </w:pPr>
            <w:r>
              <w:rPr>
                <w:rFonts w:ascii="Aptos" w:cs="Aptos" w:eastAsia="Aptos" w:hAnsi="Aptos"/>
                <w:b/>
                <w:bCs/>
                <w:color w:val="0B2809"/>
                <w:sz w:val="17"/>
                <w:szCs w:val="17"/>
                <w:lang w:val="lv-LV"/>
              </w:rPr>
              <w:t xml:space="preserve">Par veidlapu. </w:t>
            </w:r>
            <w:r>
              <w:rPr>
                <w:rFonts w:ascii="Aptos" w:cs="Aptos" w:eastAsia="Aptos" w:hAnsi="Aptos"/>
                <w:color w:val="3F5246"/>
                <w:sz w:val="17"/>
                <w:szCs w:val="17"/>
                <w:lang w:val="lv-LV"/>
              </w:rPr>
              <w:t xml:space="preserve">Procentu ienākumam no SIA „Timbro Group” (emitents) obligācijām vispārējās likmes (šobrīd 25,5%) vietā piemēro iedzīvotāju ienākuma nodokli 5% apmērā, ja saņēmējs ir fiziskā persona, kura ir citas ES dalībvalsts vai EEZ valsts nodokļu rezidents un nav saimnieciskās darbības veicējs, un emisija atbilst likumā noteiktajiem nosacījumiem: izmaksa notiek ar Nasdaq CSD starpniecību, emisijas organizētājs ir uzraudzīts ieguldījumu pakalpojumu sniedzējs, un obligācijas nav iekļautas publiskajā apgrozībā (likuma „Par iedzīvotāju ienākuma nodokli” 15. panta 7.</w:t>
            </w:r>
            <w:r>
              <w:rPr>
                <w:rFonts w:ascii="Aptos" w:cs="Aptos" w:eastAsia="Aptos" w:hAnsi="Aptos"/>
                <w:color w:val="3F5246"/>
                <w:sz w:val="17"/>
                <w:szCs w:val="17"/>
                <w:vertAlign w:val="superscript"/>
                <w:lang w:val="lv-LV"/>
              </w:rPr>
              <w:t xml:space="preserve">2</w:t>
            </w:r>
            <w:r>
              <w:rPr>
                <w:rFonts w:ascii="Aptos" w:cs="Aptos" w:eastAsia="Aptos" w:hAnsi="Aptos"/>
                <w:color w:val="3F5246"/>
                <w:sz w:val="17"/>
                <w:szCs w:val="17"/>
                <w:lang w:val="lv-LV"/>
              </w:rPr>
              <w:t xml:space="preserve"> un 7.</w:t>
            </w:r>
            <w:r>
              <w:rPr>
                <w:rFonts w:ascii="Aptos" w:cs="Aptos" w:eastAsia="Aptos" w:hAnsi="Aptos"/>
                <w:color w:val="3F5246"/>
                <w:sz w:val="17"/>
                <w:szCs w:val="17"/>
                <w:vertAlign w:val="superscript"/>
                <w:lang w:val="lv-LV"/>
              </w:rPr>
              <w:t xml:space="preserve">3</w:t>
            </w:r>
            <w:r>
              <w:rPr>
                <w:rFonts w:ascii="Aptos" w:cs="Aptos" w:eastAsia="Aptos" w:hAnsi="Aptos"/>
                <w:color w:val="3F5246"/>
                <w:sz w:val="17"/>
                <w:szCs w:val="17"/>
                <w:lang w:val="lv-LV"/>
              </w:rPr>
              <w:t xml:space="preserve"> daļa). Emitents paļaujas uz šo apliecinājumu un ar Nasdaq CSD starpniecību saņemto informāciju par nodokļu rezidenci, var pieprasīt papildu informāciju un piemēro vispārējo likmi, ja nosacījumi nav izpildīti. Šī veidlapa nav nodokļu konsultācija.</w:t>
            </w:r>
          </w:p>
          <w:p>
            <w:pPr>
              <w:keepLines/>
              <w:spacing w:after="50" w:before="0" w:line="252"/>
            </w:pPr>
            <w:r>
              <w:rPr>
                <w:rFonts w:ascii="Aptos" w:cs="Aptos" w:eastAsia="Aptos" w:hAnsi="Aptos"/>
                <w:b/>
                <w:bCs/>
                <w:color w:val="0B2809"/>
                <w:sz w:val="17"/>
                <w:szCs w:val="17"/>
                <w:lang w:val="lv-LV"/>
              </w:rPr>
              <w:t xml:space="preserve">Kam nav paredzēta. </w:t>
            </w:r>
            <w:r>
              <w:rPr>
                <w:rFonts w:ascii="Aptos" w:cs="Aptos" w:eastAsia="Aptos" w:hAnsi="Aptos"/>
                <w:color w:val="3F5246"/>
                <w:sz w:val="17"/>
                <w:szCs w:val="17"/>
                <w:lang w:val="lv-LV"/>
              </w:rPr>
              <w:t xml:space="preserve">Juridiskām personām un Latvijas nodokļu rezidentiem. Fiziskās personas, kuras ir saimnieciskās darbības veicēji vai nav ES/EEZ valsts nodokļu rezidenti, var piemērot atvieglojumus saskaņā ar nodokļu konvenciju atbilstoši Ministru kabineta 2001. gada 30. aprīļa noteikumiem Nr. 178.</w:t>
            </w:r>
          </w:p>
          <w:p>
            <w:pPr>
              <w:keepLines/>
              <w:spacing w:after="50" w:before="0" w:line="252"/>
            </w:pPr>
            <w:r>
              <w:rPr>
                <w:rFonts w:ascii="Aptos" w:cs="Aptos" w:eastAsia="Aptos" w:hAnsi="Aptos"/>
                <w:b/>
                <w:bCs/>
                <w:color w:val="0B2809"/>
                <w:sz w:val="17"/>
                <w:szCs w:val="17"/>
                <w:lang w:val="lv-LV"/>
              </w:rPr>
              <w:t xml:space="preserve">Lietuvas rezidenti. </w:t>
            </w:r>
            <w:r>
              <w:rPr>
                <w:rFonts w:ascii="Aptos" w:cs="Aptos" w:eastAsia="Aptos" w:hAnsi="Aptos"/>
                <w:color w:val="3F5246"/>
                <w:sz w:val="17"/>
                <w:szCs w:val="17"/>
                <w:lang w:val="lv-LV"/>
              </w:rPr>
              <w:t xml:space="preserve">Saskaņā ar Latvijas un Lietuvas nodokļu konvenciju procentu ienākums ir apliekams tikai Lietuvā: 0% likmi piemēro, kad atbilstoši MK noteikumiem Nr. 178 ir iesniegta Lietuvas Valsts nodokļu inspekcijas (VMI) izsniegta nodokļu rezidences apliecība un, ja ienākums pārsniedz 5000 EUR gadā, kad Valsts ieņēmumu dienests ir apstiprinājis rezidences apliecību (MK noteikumu Nr. 178 1. pielikums). Līdz tam šis apliecinājums nodrošina 5% likmes piemērošanu.</w:t>
            </w:r>
          </w:p>
          <w:p>
            <w:pPr>
              <w:keepLines/>
              <w:spacing w:after="0" w:before="0" w:line="252"/>
            </w:pPr>
            <w:r>
              <w:rPr>
                <w:rFonts w:ascii="Aptos" w:cs="Aptos" w:eastAsia="Aptos" w:hAnsi="Aptos"/>
                <w:b/>
                <w:bCs/>
                <w:color w:val="0B2809"/>
                <w:sz w:val="17"/>
                <w:szCs w:val="17"/>
                <w:lang w:val="lv-LV"/>
              </w:rPr>
              <w:t xml:space="preserve">Iesniegšana. </w:t>
            </w:r>
            <w:r>
              <w:rPr>
                <w:rFonts w:ascii="Aptos" w:cs="Aptos" w:eastAsia="Aptos" w:hAnsi="Aptos"/>
                <w:color w:val="3F5246"/>
                <w:sz w:val="17"/>
                <w:szCs w:val="17"/>
                <w:lang w:val="lv-LV"/>
              </w:rPr>
              <w:t xml:space="preserve">Parakstiet apliecinājumu ar drošu elektronisko parakstu (.asice, .edoc vai parakstīts PDF) un nosūtiet uz investors@timbro.lv līdz tā kupona izmaksas datumam, no kura jāpiemēro 5% likme, vēlams līdz tā obligacionāru saraksta fiksēšanas datumam. Pēc kupona izmaksas datuma saņemtu apliecinājumu piemēro no nākamā kupona. Jau ieturēto nodokli emitents neatmaksā.</w:t>
            </w:r>
          </w:p>
        </w:tc>
      </w:tr>
    </w:tbl>
    <w:p>
      <w:pPr>
        <w:keepNext/>
        <w:keepLines/>
        <w:shd w:fill="0B2809" w:color="auto" w:val="clear"/>
        <w:spacing w:after="80" w:before="200"/>
        <w:ind w:left="0"/>
      </w:pPr>
      <w:r>
        <w:rPr>
          <w:rFonts w:ascii="Aptos" w:cs="Aptos" w:eastAsia="Aptos" w:hAnsi="Aptos"/>
          <w:b/>
          <w:bCs/>
          <w:color w:val="FFFFFF"/>
          <w:sz w:val="19"/>
          <w:szCs w:val="19"/>
          <w:lang w:val="en-GB"/>
        </w:rPr>
        <w:t xml:space="preserve">1.  Bondholder</w:t>
      </w:r>
      <w:r>
        <w:rPr>
          <w:rFonts w:ascii="Aptos" w:cs="Aptos" w:eastAsia="Aptos" w:hAnsi="Aptos"/>
          <w:color w:val="D9EFC8"/>
          <w:sz w:val="19"/>
          <w:szCs w:val="19"/>
          <w:lang w:val="lv-LV"/>
        </w:rPr>
        <w:t xml:space="preserve">   |   Obligacionārs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50"/>
        <w:gridCol w:w="2603"/>
        <w:gridCol w:w="2350"/>
        <w:gridCol w:w="2603"/>
      </w:tblGrid>
      <w:tr>
        <w:trPr>
          <w:cantSplit/>
          <w:trHeight w:val="500" w:hRule="atLeast"/>
        </w:trPr>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Name, surname</w:t>
            </w:r>
          </w:p>
          <w:p>
            <w:pPr>
              <w:keepLines/>
              <w:spacing w:after="0" w:before="0" w:line="252"/>
              <w:jc w:val="left"/>
            </w:pPr>
            <w:r>
              <w:rPr>
                <w:rFonts w:ascii="Aptos" w:cs="Aptos" w:eastAsia="Aptos" w:hAnsi="Aptos"/>
                <w:color w:val="3F5246"/>
                <w:sz w:val="15"/>
                <w:szCs w:val="15"/>
                <w:lang w:val="lv-LV"/>
              </w:rPr>
              <w:t xml:space="preserve">Vārds, uzvārds</w:t>
            </w:r>
          </w:p>
        </w:tc>
        <w:tc>
          <w:tcPr>
            <w:tcW w:type="dxa" w:w="7556"/>
            <w:gridSpan w:val="3"/>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r>
      <w:tr>
        <w:trPr>
          <w:cantSplit/>
          <w:trHeight w:val="500" w:hRule="atLeast"/>
        </w:trPr>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Personal code</w:t>
            </w:r>
          </w:p>
          <w:p>
            <w:pPr>
              <w:keepLines/>
              <w:spacing w:after="0" w:before="0" w:line="252"/>
              <w:jc w:val="left"/>
            </w:pPr>
            <w:r>
              <w:rPr>
                <w:rFonts w:ascii="Aptos" w:cs="Aptos" w:eastAsia="Aptos" w:hAnsi="Aptos"/>
                <w:color w:val="3F5246"/>
                <w:sz w:val="15"/>
                <w:szCs w:val="15"/>
                <w:lang w:val="lv-LV"/>
              </w:rPr>
              <w:t xml:space="preserve">Personas kods</w:t>
            </w:r>
          </w:p>
        </w:tc>
        <w:tc>
          <w:tcPr>
            <w:tcW w:type="dxa" w:w="2603"/>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Country of tax residence</w:t>
            </w:r>
          </w:p>
          <w:p>
            <w:pPr>
              <w:keepLines/>
              <w:spacing w:after="0" w:before="0" w:line="252"/>
              <w:jc w:val="left"/>
            </w:pPr>
            <w:r>
              <w:rPr>
                <w:rFonts w:ascii="Aptos" w:cs="Aptos" w:eastAsia="Aptos" w:hAnsi="Aptos"/>
                <w:color w:val="3F5246"/>
                <w:sz w:val="15"/>
                <w:szCs w:val="15"/>
                <w:lang w:val="lv-LV"/>
              </w:rPr>
              <w:t xml:space="preserve">Nodokļu rezidences valsts</w:t>
            </w:r>
          </w:p>
        </w:tc>
        <w:tc>
          <w:tcPr>
            <w:tcW w:type="dxa" w:w="2603"/>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r>
      <w:tr>
        <w:trPr>
          <w:cantSplit/>
          <w:trHeight w:val="500" w:hRule="atLeast"/>
        </w:trPr>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TIN, if different from personal code</w:t>
            </w:r>
          </w:p>
          <w:p>
            <w:pPr>
              <w:keepLines/>
              <w:spacing w:after="0" w:before="0" w:line="252"/>
              <w:jc w:val="left"/>
            </w:pPr>
            <w:r>
              <w:rPr>
                <w:rFonts w:ascii="Aptos" w:cs="Aptos" w:eastAsia="Aptos" w:hAnsi="Aptos"/>
                <w:color w:val="3F5246"/>
                <w:sz w:val="15"/>
                <w:szCs w:val="15"/>
                <w:lang w:val="lv-LV"/>
              </w:rPr>
              <w:t xml:space="preserve">NMIN, ja atšķiras no personas koda</w:t>
            </w:r>
          </w:p>
        </w:tc>
        <w:tc>
          <w:tcPr>
            <w:tcW w:type="dxa" w:w="2603"/>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E-mail</w:t>
            </w:r>
          </w:p>
          <w:p>
            <w:pPr>
              <w:keepLines/>
              <w:spacing w:after="0" w:before="0" w:line="252"/>
              <w:jc w:val="left"/>
            </w:pPr>
            <w:r>
              <w:rPr>
                <w:rFonts w:ascii="Aptos" w:cs="Aptos" w:eastAsia="Aptos" w:hAnsi="Aptos"/>
                <w:color w:val="3F5246"/>
                <w:sz w:val="15"/>
                <w:szCs w:val="15"/>
                <w:lang w:val="lv-LV"/>
              </w:rPr>
              <w:t xml:space="preserve">E-pasts</w:t>
            </w:r>
          </w:p>
        </w:tc>
        <w:tc>
          <w:tcPr>
            <w:tcW w:type="dxa" w:w="2603"/>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i/>
                <w:iCs/>
                <w:color w:val="000000"/>
                <w:sz w:val="15"/>
                <w:szCs w:val="15"/>
                <w:lang w:val="en-GB"/>
              </w:rPr>
              <w:t xml:space="preserve">Your holdings, securities account and custodian bank are taken from the Nasdaq CSD bondholder register and do not need to be stated.</w:t>
            </w:r>
          </w:p>
        </w:tc>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i/>
                <w:iCs/>
                <w:color w:val="3F5246"/>
                <w:sz w:val="15"/>
                <w:szCs w:val="15"/>
                <w:lang w:val="lv-LV"/>
              </w:rPr>
              <w:t xml:space="preserve">Jūsu obligācijas, vērtspapīru konts un turētājbanka tiek noteikti pēc Nasdaq CSD obligacionāru reģistra, un tie šeit nav jānorāda.</w:t>
            </w:r>
          </w:p>
        </w:tc>
      </w:tr>
    </w:tbl>
    <w:p>
      <w:pPr>
        <w:keepNext/>
        <w:keepLines/>
        <w:pageBreakBefore/>
        <w:shd w:fill="0B2809" w:color="auto" w:val="clear"/>
        <w:spacing w:after="80" w:before="200"/>
        <w:ind w:left="0"/>
      </w:pPr>
      <w:r>
        <w:rPr>
          <w:rFonts w:ascii="Aptos" w:cs="Aptos" w:eastAsia="Aptos" w:hAnsi="Aptos"/>
          <w:b/>
          <w:bCs/>
          <w:color w:val="FFFFFF"/>
          <w:sz w:val="19"/>
          <w:szCs w:val="19"/>
          <w:lang w:val="en-GB"/>
        </w:rPr>
        <w:t xml:space="preserve">2.  Declaration</w:t>
      </w:r>
      <w:r>
        <w:rPr>
          <w:rFonts w:ascii="Aptos" w:cs="Aptos" w:eastAsia="Aptos" w:hAnsi="Aptos"/>
          <w:color w:val="D9EFC8"/>
          <w:sz w:val="19"/>
          <w:szCs w:val="19"/>
          <w:lang w:val="lv-LV"/>
        </w:rPr>
        <w:t xml:space="preserve">   |   Apliecinājums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60"/>
        <w:gridCol w:w="4773"/>
        <w:gridCol w:w="4773"/>
      </w:tblGrid>
      <w:tr>
        <w:trPr>
          <w:cantSplit/>
        </w:trPr>
        <w:tc>
          <w:tcPr>
            <w:tcW w:type="dxa" w:w="360"/>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 </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Next/>
              <w:keepLines/>
              <w:spacing w:after="40" w:before="0" w:line="252"/>
              <w:jc w:val="left"/>
            </w:pPr>
            <w:r>
              <w:rPr>
                <w:rFonts w:ascii="Aptos" w:cs="Aptos" w:eastAsia="Aptos" w:hAnsi="Aptos"/>
                <w:b/>
                <w:bCs/>
                <w:color w:val="000000"/>
                <w:sz w:val="17"/>
                <w:szCs w:val="17"/>
                <w:lang w:val="en-GB"/>
              </w:rPr>
              <w:t xml:space="preserve">I, the undersigned, declare that:</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Next/>
              <w:keepLines/>
              <w:spacing w:after="40" w:before="0" w:line="252"/>
              <w:jc w:val="left"/>
            </w:pPr>
            <w:r>
              <w:rPr>
                <w:rFonts w:ascii="Aptos" w:cs="Aptos" w:eastAsia="Aptos" w:hAnsi="Aptos"/>
                <w:b/>
                <w:bCs/>
                <w:color w:val="3F5246"/>
                <w:sz w:val="17"/>
                <w:szCs w:val="17"/>
                <w:lang w:val="lv-LV"/>
              </w:rPr>
              <w:t xml:space="preserve">Es, apakšā parakstījies(-usies), apliecinu, ka:</w:t>
            </w:r>
          </w:p>
        </w:tc>
      </w:tr>
      <w:tr>
        <w:trPr>
          <w:cantSplit/>
        </w:trPr>
        <w:tc>
          <w:tcPr>
            <w:tcW w:type="dxa" w:w="360"/>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1.</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I am the recipient and beneficial owner of the interest on all bonds issued by SIA Timbro Group held by me, and I hold these bonds in my own name and for my own account;</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esmu procentu ienākuma par visām man piederošajām SIA „Timbro Group” emitētajām obligācijām saņēmējs un patiesā labuma guvējs, un šīs obligācijas turu savā vārdā un uz sava rēķina;</w:t>
            </w:r>
          </w:p>
        </w:tc>
      </w:tr>
      <w:tr>
        <w:trPr>
          <w:cantSplit/>
        </w:trPr>
        <w:tc>
          <w:tcPr>
            <w:tcW w:type="dxa" w:w="360"/>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2.</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I am a tax resident of the country stated in Section 1, which is a member state of the European Union or the European Economic Area, and I am not a tax resident of the Republic of Latvia;</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esmu 1. sadaļā norādītās valsts, kas ir Eiropas Savienības dalībvalsts vai Eiropas Ekonomikas zonas valsts, nodokļu rezidents un neesmu Latvijas Republikas nodokļu rezidents;</w:t>
            </w:r>
          </w:p>
        </w:tc>
      </w:tr>
      <w:tr>
        <w:trPr>
          <w:cantSplit/>
        </w:trPr>
        <w:tc>
          <w:tcPr>
            <w:tcW w:type="dxa" w:w="360"/>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3.</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I do not carry on economic activity; in particular, I am not registered in any country as a sole proprietor, self-employed person or other performer of economic activity (e.g. FIE in Estonia or individual activity in Lithuania);</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neesmu saimnieciskās darbības veicējs, tostarp neesmu nevienā valstī reģistrēts(-a) kā individuālais komersants, pašnodarbinātā persona vai cits saimnieciskās darbības veicējs (piemēram, FIE Igaunijā vai individuālās darbības veicējs Lietuvā);</w:t>
            </w:r>
          </w:p>
        </w:tc>
      </w:tr>
      <w:tr>
        <w:trPr>
          <w:cantSplit/>
        </w:trPr>
        <w:tc>
          <w:tcPr>
            <w:tcW w:type="dxa" w:w="360"/>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4.</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the tax residence information I have provided to my custodian bank(s) or account operator(s) is correct and consistent with this declaration;</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informācija par manu nodokļu rezidenci, ko esmu sniedzis(-gusi) savai(-ām) turētājbankai(-ām) vai konta turētājam(-iem), ir patiesa un atbilst šim apliecinājumam;</w:t>
            </w:r>
          </w:p>
        </w:tc>
      </w:tr>
      <w:tr>
        <w:trPr>
          <w:cantSplit/>
        </w:trPr>
        <w:tc>
          <w:tcPr>
            <w:tcW w:type="dxa" w:w="360"/>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5.</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I will notify the Issuer in writing without delay, and in any case before the next coupon record date, of any change in this information, including a change of tax residence or the start of economic activity;</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nekavējoties, bet ne vēlāk kā līdz nākamā kupona maksājuma obligacionāru saraksta fiksēšanas datumam, rakstiski informēšu emitentu par jebkādām izmaiņām šajā informācijā, tostarp par nodokļu rezidences maiņu vai saimnieciskās darbības uzsākšanu;</w:t>
            </w:r>
          </w:p>
        </w:tc>
      </w:tr>
      <w:tr>
        <w:trPr>
          <w:cantSplit/>
        </w:trPr>
        <w:tc>
          <w:tcPr>
            <w:tcW w:type="dxa" w:w="360"/>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6.</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I understand that the Issuer relies on this declaration when applying the 5% rate and, if the information I have provided is incorrect, incomplete or has not been updated in time, I will compensate the Issuer for any additional tax, late payment interest and penalties imposed on it as a result;</w:t>
            </w:r>
          </w:p>
        </w:tc>
        <w:tc>
          <w:tcPr>
            <w:tcW w:type="dxa" w:w="477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esmu informēts(-a), ka emitents, piemērojot 5% likmi, paļaujas uz šo apliecinājumu, un, ja manis sniegtā informācija ir nepatiesa, nepilnīga vai nav laikus aktualizēta, atlīdzināšu emitentam papildu nodokli, nokavējuma naudu un soda naudu, kas šī iemesla dēļ emitentam aprēķināta;</w:t>
            </w:r>
          </w:p>
        </w:tc>
      </w:tr>
      <w:tr>
        <w:trPr>
          <w:cantSplit/>
        </w:trPr>
        <w:tc>
          <w:tcPr>
            <w:tcW w:type="dxa" w:w="360"/>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b/>
                <w:bCs/>
                <w:color w:val="0B2809"/>
                <w:sz w:val="17"/>
                <w:szCs w:val="17"/>
                <w:lang w:val="en-GB"/>
              </w:rPr>
              <w:t xml:space="preserve">7.</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000000"/>
                <w:sz w:val="17"/>
                <w:szCs w:val="17"/>
                <w:lang w:val="en-GB"/>
              </w:rPr>
              <w:t xml:space="preserve">this declaration applies to all bonds issued by SIA Timbro Group that I hold now or may acquire in the future, in any securities account, until I revoke it or notify the Issuer of a change.</w:t>
            </w:r>
          </w:p>
        </w:tc>
        <w:tc>
          <w:tcPr>
            <w:tcW w:type="dxa" w:w="4773"/>
            <w:tcBorders>
              <w:top w:val="none" w:color="FFFFFF" w:sz="0"/>
              <w:left w:val="none" w:color="FFFFFF" w:sz="0"/>
              <w:bottom w:val="none" w:color="FFFFFF" w:sz="0"/>
              <w:right w:val="none" w:color="FFFFFF" w:sz="0"/>
            </w:tcBorders>
            <w:shd w:fill="EEF6E6" w:color="auto" w:val="clear"/>
            <w:tcMar>
              <w:top w:type="dxa" w:w="40"/>
              <w:left w:type="dxa" w:w="100"/>
              <w:bottom w:type="dxa" w:w="40"/>
              <w:right w:type="dxa" w:w="100"/>
            </w:tcMar>
            <w:vAlign w:val="top"/>
          </w:tcPr>
          <w:p>
            <w:pPr>
              <w:keepLines/>
              <w:spacing w:after="40" w:before="0" w:line="252"/>
              <w:jc w:val="left"/>
            </w:pPr>
            <w:r>
              <w:rPr>
                <w:rFonts w:ascii="Aptos" w:cs="Aptos" w:eastAsia="Aptos" w:hAnsi="Aptos"/>
                <w:color w:val="3F5246"/>
                <w:sz w:val="17"/>
                <w:szCs w:val="17"/>
                <w:lang w:val="lv-LV"/>
              </w:rPr>
              <w:t xml:space="preserve">šis apliecinājums attiecas uz visām SIA „Timbro Group” emitētajām obligācijām, kuras man pieder šobrīd vai kuras varu iegūt nākotnē jebkurā vērtspapīru kontā, līdz brīdim, kad to atsaucu vai paziņoju emitentam par izmaiņām.</w:t>
            </w:r>
          </w:p>
        </w:tc>
      </w:tr>
    </w:tbl>
    <w:p>
      <w:pPr>
        <w:keepNext/>
        <w:keepLines/>
        <w:shd w:fill="0B2809" w:color="auto" w:val="clear"/>
        <w:spacing w:after="80" w:before="200"/>
        <w:ind w:left="0"/>
      </w:pPr>
      <w:r>
        <w:rPr>
          <w:rFonts w:ascii="Aptos" w:cs="Aptos" w:eastAsia="Aptos" w:hAnsi="Aptos"/>
          <w:b/>
          <w:bCs/>
          <w:color w:val="FFFFFF"/>
          <w:sz w:val="19"/>
          <w:szCs w:val="19"/>
          <w:lang w:val="en-GB"/>
        </w:rPr>
        <w:t xml:space="preserve">3.  Signature</w:t>
      </w:r>
      <w:r>
        <w:rPr>
          <w:rFonts w:ascii="Aptos" w:cs="Aptos" w:eastAsia="Aptos" w:hAnsi="Aptos"/>
          <w:color w:val="D9EFC8"/>
          <w:sz w:val="19"/>
          <w:szCs w:val="19"/>
          <w:lang w:val="lv-LV"/>
        </w:rPr>
        <w:t xml:space="preserve">   |   Paraksts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20"/>
        <w:gridCol w:w="4743"/>
        <w:gridCol w:w="4743"/>
      </w:tblGrid>
      <w:tr>
        <w:trPr>
          <w:cantSplit/>
        </w:trPr>
        <w:tc>
          <w:tcPr>
            <w:tcW w:type="dxa" w:w="420"/>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spacing w:after="0" w:before="0"/>
            </w:pPr>
            <w:sdt>
              <w:sdtPr>
                <w14:checkbox>
                  <w14:checked w14:val="0"/>
                  <w14:checkedState w14:val="2612" w14:font="MS Gothic"/>
                  <w14:uncheckedState w14:val="2610" w14:font="MS Gothic"/>
                </w14:checkbox>
              </w:sdtPr>
              <w:sdtContent>
                <w:r>
                  <w:sym w:char="2610" w:font="MS Gothic"/>
                </w:r>
              </w:sdtContent>
            </w:sdt>
          </w:p>
        </w:tc>
        <w:tc>
          <w:tcPr>
            <w:tcW w:type="dxa" w:w="474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color w:val="000000"/>
                <w:sz w:val="17"/>
                <w:szCs w:val="17"/>
                <w:lang w:val="en-GB"/>
              </w:rPr>
              <w:t xml:space="preserve">Optional: I attach a certificate of tax residence and/or a statement of my tax authority confirming that I am not registered as a performer of economic activity.</w:t>
            </w:r>
          </w:p>
        </w:tc>
        <w:tc>
          <w:tcPr>
            <w:tcW w:type="dxa" w:w="474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color w:val="3F5246"/>
                <w:sz w:val="17"/>
                <w:szCs w:val="17"/>
                <w:lang w:val="lv-LV"/>
              </w:rPr>
              <w:t xml:space="preserve">Pēc izvēles: pievienoju nodokļu rezidences apliecību un/vai savas nodokļu administrācijas izziņu, ka neesmu reģistrēts(-a) kā saimnieciskās darbības veicējs.</w:t>
            </w:r>
          </w:p>
        </w:tc>
      </w:tr>
    </w:tbl>
    <w:p>
      <w:pPr>
        <w:spacing w:after="4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50"/>
        <w:gridCol w:w="7556"/>
      </w:tblGrid>
      <w:tr>
        <w:trPr>
          <w:cantSplit/>
          <w:trHeight w:val="500" w:hRule="atLeast"/>
        </w:trPr>
        <w:tc>
          <w:tcPr>
            <w:tcW w:type="dxa" w:w="2350"/>
            <w:tcBorders>
              <w:top w:val="single" w:color="B9C2BB" w:sz="4"/>
              <w:left w:val="single" w:color="B9C2BB" w:sz="4"/>
              <w:bottom w:val="single" w:color="B9C2BB" w:sz="4"/>
              <w:right w:val="single" w:color="B9C2BB" w:sz="4"/>
            </w:tcBorders>
            <w:shd w:fill="EEF6E6" w:color="auto" w:val="clear"/>
            <w:tcMar>
              <w:top w:type="dxa" w:w="40"/>
              <w:left w:type="dxa" w:w="100"/>
              <w:bottom w:type="dxa" w:w="40"/>
              <w:right w:type="dxa" w:w="100"/>
            </w:tcMar>
            <w:vAlign w:val="center"/>
          </w:tcPr>
          <w:p>
            <w:pPr>
              <w:keepLines/>
              <w:spacing w:after="0" w:before="0" w:line="252"/>
              <w:jc w:val="left"/>
            </w:pPr>
            <w:r>
              <w:rPr>
                <w:rFonts w:ascii="Aptos" w:cs="Aptos" w:eastAsia="Aptos" w:hAnsi="Aptos"/>
                <w:b/>
                <w:bCs/>
                <w:color w:val="000000"/>
                <w:sz w:val="17"/>
                <w:szCs w:val="17"/>
                <w:lang w:val="en-GB"/>
              </w:rPr>
              <w:t xml:space="preserve">Name, surname</w:t>
            </w:r>
          </w:p>
          <w:p>
            <w:pPr>
              <w:keepLines/>
              <w:spacing w:after="0" w:before="0" w:line="252"/>
              <w:jc w:val="left"/>
            </w:pPr>
            <w:r>
              <w:rPr>
                <w:rFonts w:ascii="Aptos" w:cs="Aptos" w:eastAsia="Aptos" w:hAnsi="Aptos"/>
                <w:color w:val="3F5246"/>
                <w:sz w:val="15"/>
                <w:szCs w:val="15"/>
                <w:lang w:val="lv-LV"/>
              </w:rPr>
              <w:t xml:space="preserve">Vārds, uzvārds</w:t>
            </w:r>
          </w:p>
        </w:tc>
        <w:tc>
          <w:tcPr>
            <w:tcW w:type="dxa" w:w="7556"/>
            <w:tcBorders>
              <w:top w:val="single" w:color="B9C2BB" w:sz="4"/>
              <w:left w:val="single" w:color="B9C2BB" w:sz="4"/>
              <w:bottom w:val="single" w:color="B9C2BB" w:sz="4"/>
              <w:right w:val="single" w:color="B9C2BB" w:sz="4"/>
            </w:tcBorders>
            <w:tcMar>
              <w:top w:type="dxa" w:w="40"/>
              <w:left w:type="dxa" w:w="100"/>
              <w:bottom w:type="dxa" w:w="40"/>
              <w:right w:type="dxa" w:w="100"/>
            </w:tcMar>
            <w:vAlign w:val="top"/>
          </w:tcPr>
          <w:p>
            <w:pPr>
              <w:keepLines/>
              <w:spacing w:after="0" w:before="0" w:line="252"/>
              <w:jc w:val="left"/>
            </w:pP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i/>
                <w:iCs/>
                <w:color w:val="000000"/>
                <w:sz w:val="15"/>
                <w:szCs w:val="15"/>
                <w:lang w:val="en-GB"/>
              </w:rPr>
              <w:t xml:space="preserve">This document is signed with a qualified electronic signature and contains a time stamp.</w:t>
            </w:r>
          </w:p>
        </w:tc>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jc w:val="left"/>
            </w:pPr>
            <w:r>
              <w:rPr>
                <w:rFonts w:ascii="Aptos" w:cs="Aptos" w:eastAsia="Aptos" w:hAnsi="Aptos"/>
                <w:i/>
                <w:iCs/>
                <w:color w:val="3F5246"/>
                <w:sz w:val="15"/>
                <w:szCs w:val="15"/>
                <w:lang w:val="lv-LV"/>
              </w:rPr>
              <w:t xml:space="preserve">Šis dokuments ir parakstīts ar drošu elektronisko parakstu un satur laika zīmogu.</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pPr>
            <w:r>
              <w:rPr>
                <w:rFonts w:ascii="Aptos" w:cs="Aptos" w:eastAsia="Aptos" w:hAnsi="Aptos"/>
                <w:b/>
                <w:bCs/>
                <w:color w:val="8A8F8B"/>
                <w:sz w:val="14"/>
                <w:szCs w:val="14"/>
                <w:lang w:val="en-GB"/>
              </w:rPr>
              <w:t xml:space="preserve">Personal data. </w:t>
            </w:r>
            <w:r>
              <w:rPr>
                <w:rFonts w:ascii="Aptos" w:cs="Aptos" w:eastAsia="Aptos" w:hAnsi="Aptos"/>
                <w:color w:val="8A8F8B"/>
                <w:sz w:val="14"/>
                <w:szCs w:val="14"/>
                <w:lang w:val="en-GB"/>
              </w:rPr>
              <w:t xml:space="preserve">SIA Timbro Group (controller, investors@timbro.lv) processes the personal data in this form to apply the correct withholding tax rate and to comply with Latvian tax law (Article 6(1)(c) GDPR). The data may be disclosed to the State Revenue Service of Latvia, Nasdaq CSD and the Issuer’s advisers and service providers involved in coupon payments, and is kept for as long as required by Latvian tax and accounting laws.</w:t>
            </w:r>
          </w:p>
        </w:tc>
        <w:tc>
          <w:tcPr>
            <w:tcW w:type="dxa" w:w="4953"/>
            <w:tcBorders>
              <w:top w:val="none" w:color="FFFFFF" w:sz="0"/>
              <w:left w:val="none" w:color="FFFFFF" w:sz="0"/>
              <w:bottom w:val="none" w:color="FFFFFF" w:sz="0"/>
              <w:right w:val="none" w:color="FFFFFF" w:sz="0"/>
            </w:tcBorders>
            <w:tcMar>
              <w:top w:type="dxa" w:w="40"/>
              <w:left w:type="dxa" w:w="100"/>
              <w:bottom w:type="dxa" w:w="40"/>
              <w:right w:type="dxa" w:w="100"/>
            </w:tcMar>
            <w:vAlign w:val="top"/>
          </w:tcPr>
          <w:p>
            <w:pPr>
              <w:keepLines/>
              <w:spacing w:after="0" w:before="0" w:line="252"/>
            </w:pPr>
            <w:r>
              <w:rPr>
                <w:rFonts w:ascii="Aptos" w:cs="Aptos" w:eastAsia="Aptos" w:hAnsi="Aptos"/>
                <w:b/>
                <w:bCs/>
                <w:color w:val="8A8F8B"/>
                <w:sz w:val="14"/>
                <w:szCs w:val="14"/>
                <w:lang w:val="lv-LV"/>
              </w:rPr>
              <w:t xml:space="preserve">Personas dati. </w:t>
            </w:r>
            <w:r>
              <w:rPr>
                <w:rFonts w:ascii="Aptos" w:cs="Aptos" w:eastAsia="Aptos" w:hAnsi="Aptos"/>
                <w:color w:val="8A8F8B"/>
                <w:sz w:val="14"/>
                <w:szCs w:val="14"/>
                <w:lang w:val="lv-LV"/>
              </w:rPr>
              <w:t xml:space="preserve">SIA „Timbro Group” (pārzinis, investors@timbro.lv) apstrādā šajā veidlapā norādītos personas datus, lai piemērotu pareizo nodokļa likmi un izpildītu Latvijas nodokļu normatīvo aktu prasības (VDAR 6. panta 1. punkta c) apakšpunkts). Datus var nodot Valsts ieņēmumu dienestam, Nasdaq CSD un emitenta konsultantiem un pakalpojumu sniedzējiem, kas iesaistīti kuponu izmaksā, un tos glabā tik ilgi, cik to nosaka Latvijas nodokļu un grāmatvedības normatīvie akti.</w:t>
            </w:r>
          </w:p>
        </w:tc>
      </w:tr>
    </w:tbl>
    <w:sectPr>
      <w:headerReference w:type="default" r:id="rId7"/>
      <w:footerReference w:type="default" r:id="rId8"/>
      <w:pgSz w:w="11906" w:h="16838" w:orient="portrait"/>
      <w:pgMar w:top="1200" w:right="1000" w:bottom="900" w:left="100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2BB" w:sz="4" w:space="4"/>
      </w:pBdr>
      <w:tabs>
        <w:tab w:val="right" w:pos="9906"/>
      </w:tabs>
    </w:pPr>
    <w:r>
      <w:rPr>
        <w:rFonts w:ascii="Aptos" w:cs="Aptos" w:eastAsia="Aptos" w:hAnsi="Aptos"/>
        <w:color w:val="8A8F8B"/>
        <w:sz w:val="14"/>
        <w:szCs w:val="14"/>
      </w:rPr>
      <w:t xml:space="preserve">SIA Timbro Group  |  Reg. No. 40203549571  |  Gaujas iela 5, Cēsis, LV-4101, Latvia  |  investors@timbro.lv  |  Form v1.1, October 2026</w:t>
    </w:r>
    <w:r>
      <w:rPr>
        <w:rFonts w:ascii="Aptos" w:cs="Aptos" w:eastAsia="Aptos" w:hAnsi="Aptos"/>
        <w:color w:val="8A8F8B"/>
        <w:sz w:val="14"/>
        <w:szCs w:val="14"/>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906"/>
      </w:tabs>
      <w:spacing w:after="0"/>
    </w:pPr>
    <w:r>
      <w:drawing>
        <wp:inline distT="0" distB="0" distL="0" distR="0">
          <wp:extent cx="1123950" cy="238125"/>
          <wp:effectExtent t="0" r="0" b="0" l="0"/>
          <wp:docPr id="1" name="Timbro logo" descr="Timbro logo" title="Tim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238125"/>
                  </a:xfrm>
                  <a:prstGeom prst="rect">
                    <a:avLst/>
                  </a:prstGeom>
                </pic:spPr>
              </pic:pic>
            </a:graphicData>
          </a:graphic>
        </wp:inline>
      </w:drawing>
    </w:r>
    <w:r>
      <w:rPr>
        <w:rFonts w:ascii="Aptos" w:cs="Aptos" w:eastAsia="Aptos" w:hAnsi="Aptos"/>
        <w:color w:val="8A8F8B"/>
        <w:sz w:val="15"/>
        <w:szCs w:val="15"/>
        <w:lang w:val="en-GB"/>
      </w:rPr>
      <w:t xml:space="preserve">	Bondholder tax self-declaration  |  </w:t>
    </w:r>
    <w:r>
      <w:rPr>
        <w:rFonts w:ascii="Aptos" w:cs="Aptos" w:eastAsia="Aptos" w:hAnsi="Aptos"/>
        <w:color w:val="8A8F8B"/>
        <w:sz w:val="15"/>
        <w:szCs w:val="15"/>
        <w:lang w:val="lv-LV"/>
      </w:rPr>
      <w:t xml:space="preserve">Obligacionāra nodokļu apliecinājums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c7cd186f1a746e4196dbc9a9b37c71cd8e6a0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Self-declaration for the reduced 5% withholding tax rate on bond interest</dc:title>
  <dc:creator>SIA Timbro Group</dc:creator>
  <dc:description>Bondholder tax self-declaration (EN/LV)</dc:description>
  <cp:lastModifiedBy>Un-named</cp:lastModifiedBy>
  <cp:revision>1</cp:revision>
  <dcterms:created xsi:type="dcterms:W3CDTF">2026-10-28T17:14:28.855Z</dcterms:created>
  <dcterms:modified xsi:type="dcterms:W3CDTF">2026-10-28T17:14:28.868Z</dcterms:modified>
</cp:coreProperties>
</file>

<file path=docProps/custom.xml><?xml version="1.0" encoding="utf-8"?>
<Properties xmlns="http://schemas.openxmlformats.org/officeDocument/2006/custom-properties" xmlns:vt="http://schemas.openxmlformats.org/officeDocument/2006/docPropsVTypes"/>
</file>